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63AA6625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1E35ED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/</w:t>
                                </w:r>
                                <w:r w:rsidR="008D0EA5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9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63AA6625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1E35ED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7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/</w:t>
                          </w:r>
                          <w:r w:rsidR="008D0EA5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734"/>
        <w:gridCol w:w="4921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p w14:paraId="6F4951D1" w14:textId="2E9EDCDE" w:rsidR="00E85B23" w:rsidRPr="00073EC3" w:rsidRDefault="008D0EA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 xml:space="preserve">FISCO </w:t>
            </w:r>
            <w:r w:rsidR="00E85B23"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shd w:val="clear" w:color="auto" w:fill="auto"/>
          </w:tcPr>
          <w:p w14:paraId="53E99150" w14:textId="792D8822" w:rsidR="00E730A8" w:rsidRDefault="008D0EA5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1</w:t>
            </w:r>
            <w:r w:rsidR="00A87585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7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A87585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LUGLIO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2023</w:t>
            </w:r>
            <w:r w:rsidR="00D81C84" w:rsidRPr="00073EC3">
              <w:rPr>
                <w:color w:val="FFFFFF" w:themeColor="background1"/>
                <w:sz w:val="28"/>
              </w:rPr>
              <w:t xml:space="preserve"> e </w:t>
            </w:r>
          </w:p>
          <w:p w14:paraId="39EC02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6A79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5CB7A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7167C8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221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D8BA6B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27EE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6BA2D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756EF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5785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88212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017B3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A54B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84A47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B25BE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7D0462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E1A90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EB10C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879FB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A1CF77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1D724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EB45EC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E60B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40537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DF1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85A70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B9C2F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F3CE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7448B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F8BB3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52092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1C045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47758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64359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C4E68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70DE8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F8B62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C4E0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9AD31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E651D3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3E748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42CE7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25E7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AD82D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AECA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DFF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08F1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0F55FE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CCA3B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AA4C1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63CD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99166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54BEF1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024A0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F4573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E0A7D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78F6F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C8C92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D2AF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7040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209C1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AD77D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07D40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0C19A1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0F9DE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366781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3519AF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0CFAC4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1D69F5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E0F584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E3CCF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2D9DC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5C83F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6E48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FF957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EC1E2F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2C1BE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4D7884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948B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DB42A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FF449C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DC96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F36FB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4C877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D56FE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2BD701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962555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C6C83C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2D7243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BE07C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5370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841202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E9848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F02C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83B861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24DA7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64B1E9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D9FB8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B6D66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D98D5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AECF8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9CB01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7BA6BE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F04C32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81938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40C3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8BFD8B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6669B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DF90CF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A05466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E4E03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0FEC8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932D00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5F9C1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AE31AAD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03D6D8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B965C9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3617A3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99570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FE8DBC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2918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8276B7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7A2CB90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4853AC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B7B9FD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3920C6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396F3D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DE1C4C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10CB4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6F57F9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C1B57E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AD169D2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24470E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10042E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C48010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69B51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A2A2E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F4ECA2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782CC53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E0538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146906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24F063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0CB97A6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57BA35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9F892AB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3418F9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D95D067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91C306A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B4F8EAF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71313E6C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45B42059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6E36C8F8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1F916C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3A8E8874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B6686B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11DEF401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04F4B625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23CD6979" w14:textId="1A54072C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22</w:t>
            </w:r>
          </w:p>
          <w:p w14:paraId="7D438386" w14:textId="5E7E0688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</w:t>
            </w:r>
          </w:p>
          <w:p w14:paraId="4E008D8E" w14:textId="7CE296A8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20 LUGLIO 2023</w:t>
            </w:r>
          </w:p>
          <w:p w14:paraId="617DB2EE" w14:textId="77777777" w:rsidR="002912EC" w:rsidRDefault="002912EC" w:rsidP="00D81C84">
            <w:pPr>
              <w:rPr>
                <w:color w:val="FFFFFF" w:themeColor="background1"/>
                <w:sz w:val="28"/>
              </w:rPr>
            </w:pPr>
          </w:p>
          <w:p w14:paraId="599581AA" w14:textId="1EC78655" w:rsidR="002912EC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20</w:t>
            </w:r>
          </w:p>
          <w:p w14:paraId="265D30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D7CA6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4F2F9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AED1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20493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D6091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C2B14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0DB5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382BC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A027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4A4164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56B18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854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5796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55FE0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FDFB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2F4958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815CB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CD7CD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986B0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86F67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FD6A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1912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1B5B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070E1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3EF8D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70E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BA280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3D226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FBC87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D2D5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DF0D0E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1215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96C3A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CFB9E4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9A80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D3F3C5" w14:textId="77777777" w:rsidR="000D4E64" w:rsidRDefault="000D4E64" w:rsidP="000D4E64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20 LUGLIO 2023</w:t>
            </w:r>
          </w:p>
          <w:p w14:paraId="0771360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208F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A1DF3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FE0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0FB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9845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B534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64FA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1E1F2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0B437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A490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4CEF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7CDA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90DD4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E67E3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49099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FDA80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3AFD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F043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0C53C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4D27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E01B1F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75CD6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12F6F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128509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82F8F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64903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9802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F71081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86ABE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1A656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0B5EC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69C62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AABB2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65D24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BD9E3D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D84A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75E88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689A030" w14:textId="6184CD61" w:rsidR="00E730A8" w:rsidRDefault="00F54612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1717</w:t>
            </w:r>
          </w:p>
          <w:p w14:paraId="457E338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165B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E0670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6B85B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129EC4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2E0E99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AA8A3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4C91C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F1871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738BE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3C1F3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56CF9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8F536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E1250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632A2F" w14:textId="77777777" w:rsidR="00B904D9" w:rsidRDefault="00B904D9" w:rsidP="00D81C84">
            <w:pPr>
              <w:rPr>
                <w:color w:val="FFFFFF" w:themeColor="background1"/>
                <w:sz w:val="28"/>
              </w:rPr>
            </w:pPr>
          </w:p>
          <w:p w14:paraId="7828487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224408" w14:textId="32709B81" w:rsidR="00B904D9" w:rsidRDefault="00B904D9" w:rsidP="00B904D9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25 LUGLIO 2023</w:t>
            </w:r>
          </w:p>
          <w:p w14:paraId="01E3A04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DDCCE5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A1192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4ACE84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1C0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3B68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560B5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CFFE8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02EEA63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AF6A5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DCAA08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45F8F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95A55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0D732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CDFA10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288063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C62A65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21555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51E8E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838AD62" w14:textId="7B03730C" w:rsidR="00F26F3D" w:rsidRDefault="00F26F3D" w:rsidP="00F26F3D">
            <w:pPr>
              <w:rPr>
                <w:color w:val="FFFFFF" w:themeColor="background1"/>
                <w:sz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31 LUGLIO 2023</w:t>
            </w:r>
          </w:p>
          <w:p w14:paraId="47F9F9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3F615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F2A5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2B857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F893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4915B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9C6EC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8D8861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9757DD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C6233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83BB7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94C38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FE6F6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3F1FE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DCF345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803CC8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99D18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A6E94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C143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5ECC98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963246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781615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81E5E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1CE0C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4FC7E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584D79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A6E82E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783A5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21858B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59F21D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B0BE55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327C8C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C28BB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C8645E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DAC7C9E" w14:textId="77777777" w:rsidR="000A6DE0" w:rsidRDefault="000A6DE0" w:rsidP="00D81C84">
            <w:pPr>
              <w:rPr>
                <w:color w:val="FFFFFF" w:themeColor="background1"/>
                <w:sz w:val="28"/>
              </w:rPr>
            </w:pPr>
          </w:p>
          <w:p w14:paraId="75EF1B6C" w14:textId="77777777" w:rsidR="000A6DE0" w:rsidRDefault="000A6DE0" w:rsidP="00D81C84">
            <w:pPr>
              <w:rPr>
                <w:color w:val="FFFFFF" w:themeColor="background1"/>
                <w:sz w:val="28"/>
              </w:rPr>
            </w:pPr>
          </w:p>
          <w:p w14:paraId="3E76976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000860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E484F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361A3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D1FC49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E71934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82C4B1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E92DDB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FDD345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A6314B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635AFA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A81FB5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618FE5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469A00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285F13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C66627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356DF5C" w14:textId="2DA204DD" w:rsidR="00E730A8" w:rsidRDefault="002912EC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20</w:t>
            </w:r>
          </w:p>
          <w:p w14:paraId="277B504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EE016E4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CE2B8B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AAB8CA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25ADEA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11A9E2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D6A2C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753F1C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A73BE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D780D66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71E2B1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0DB376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65F0D75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5716D1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56197B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B7C660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00DF89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5D69FF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1A7ED1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719D18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F897A9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2B12F3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AD7C43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741EC67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81B73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B8D7C9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439EDB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FB42C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CAE729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554426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061B76A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28546D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4067CFB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45F246F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C0E3D3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EF862E0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399855AD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42ADA8A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508E0548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4A1FA17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1F4CD5C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8151DA1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176BAAE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6F7B4EF7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2A6500E2" w14:textId="77777777" w:rsidR="00E730A8" w:rsidRDefault="00E730A8" w:rsidP="00D81C84">
            <w:pPr>
              <w:rPr>
                <w:color w:val="FFFFFF" w:themeColor="background1"/>
                <w:sz w:val="28"/>
              </w:rPr>
            </w:pPr>
          </w:p>
          <w:p w14:paraId="179F90BF" w14:textId="77777777" w:rsidR="005624B6" w:rsidRDefault="00E730A8" w:rsidP="00D81C84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P</w:t>
            </w:r>
          </w:p>
          <w:p w14:paraId="686FE1DD" w14:textId="77777777" w:rsidR="005624B6" w:rsidRDefault="005624B6" w:rsidP="00D81C84">
            <w:pPr>
              <w:rPr>
                <w:color w:val="FFFFFF" w:themeColor="background1"/>
                <w:sz w:val="28"/>
              </w:rPr>
            </w:pPr>
          </w:p>
          <w:p w14:paraId="497D30C6" w14:textId="77777777" w:rsidR="005624B6" w:rsidRDefault="005624B6" w:rsidP="00D81C84">
            <w:pPr>
              <w:rPr>
                <w:color w:val="FFFFFF" w:themeColor="background1"/>
                <w:sz w:val="28"/>
              </w:rPr>
            </w:pPr>
          </w:p>
          <w:p w14:paraId="721382AF" w14:textId="2738CF80" w:rsidR="00D81C84" w:rsidRDefault="00D81C84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  <w:r w:rsidRPr="00073EC3">
              <w:rPr>
                <w:color w:val="FFFFFF" w:themeColor="background1"/>
                <w:sz w:val="28"/>
              </w:rPr>
              <w:t>r</w:t>
            </w:r>
            <w:r w:rsidR="00E730A8">
              <w:rPr>
                <w:color w:val="FFFFFF" w:themeColor="background1"/>
                <w:sz w:val="28"/>
              </w:rPr>
              <w:t>202020</w:t>
            </w:r>
            <w:r w:rsidR="00E730A8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7893D428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D7325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3E35C15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FAFE44E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4C7D323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1EFCB9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6F6467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58F9F3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B5535DB" w14:textId="77777777" w:rsidR="005624B6" w:rsidRDefault="005624B6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F4D7238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E037BE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DBE4315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CD61FF6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2928B81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3725111" w14:textId="77777777" w:rsidR="004E0C1C" w:rsidRDefault="004E0C1C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7891CA9" w14:textId="49C972F6" w:rsidR="00E730A8" w:rsidRPr="00CB6F26" w:rsidRDefault="00E730A8" w:rsidP="00D81C84">
            <w:pPr>
              <w:rPr>
                <w:color w:val="636363" w:themeColor="background2"/>
                <w:sz w:val="28"/>
                <w:szCs w:val="28"/>
              </w:rPr>
            </w:pPr>
          </w:p>
        </w:tc>
        <w:tc>
          <w:tcPr>
            <w:tcW w:w="1710" w:type="pct"/>
            <w:shd w:val="clear" w:color="auto" w:fill="auto"/>
          </w:tcPr>
          <w:p w14:paraId="7A9955A0" w14:textId="77777777" w:rsidR="005F3901" w:rsidRDefault="00480066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004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>Titolari partita IVA</w:t>
            </w:r>
            <w:r w:rsidRPr="00480066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:</w:t>
            </w:r>
          </w:p>
          <w:p w14:paraId="621F673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07D5B1B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B226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880D73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51A8DE9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AF884B5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7E56C68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F1F6600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19AF6E7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5B30A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4D0B96AF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3D6CE4DC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F917F13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1C53A8CD" w14:textId="77777777" w:rsidR="008C2E4B" w:rsidRDefault="008C2E4B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7C9BBE4C" w14:textId="77777777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>
              <w:rPr>
                <w:b/>
                <w:bCs/>
                <w:color w:val="636363" w:themeColor="background2"/>
                <w:sz w:val="32"/>
                <w:szCs w:val="32"/>
              </w:rPr>
              <w:t xml:space="preserve"> </w:t>
            </w:r>
            <w:r w:rsidRPr="000A004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partita IVA</w:t>
            </w:r>
            <w:r w:rsidRPr="00480066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:</w:t>
            </w:r>
          </w:p>
          <w:p w14:paraId="7DE075F3" w14:textId="77777777" w:rsidR="008C2E4B" w:rsidRDefault="008C2E4B" w:rsidP="008C2E4B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61AD3D39" w14:textId="77777777" w:rsidR="008C2E4B" w:rsidRDefault="008C2E4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956FF5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3D2691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D05B2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0146A33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472E8DA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CB52BE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33B8689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453F74E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24BF1D4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CDF033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25E7BB8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9F8C476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292FBE27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AB34831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67E9C592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BFF27E0" w14:textId="77777777" w:rsidR="000A004E" w:rsidRDefault="000A004E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5D14D6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</w:p>
          <w:p w14:paraId="0B8091B6" w14:textId="5352D5C1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004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Cedolare Secca titolari di partita IVA</w:t>
            </w: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.</w:t>
            </w:r>
          </w:p>
          <w:p w14:paraId="07C39C3C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F598B1E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5A719008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FA85B8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C1005C3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326E38C8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4743F0B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77337302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82F0811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187ECB88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091CD435" w14:textId="77777777" w:rsidR="00971DAC" w:rsidRDefault="00971DA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</w:rPr>
            </w:pPr>
          </w:p>
          <w:p w14:paraId="421A6C73" w14:textId="77777777" w:rsidR="000A004E" w:rsidRDefault="000A004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971DAC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7655109B" w14:textId="77777777" w:rsidR="00625A0F" w:rsidRDefault="00625A0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7288FA" w14:textId="77777777" w:rsidR="00625A0F" w:rsidRDefault="00625A0F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72DC16" w14:textId="77777777" w:rsidR="00625A0F" w:rsidRDefault="00625A0F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625A0F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4EE403EA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465436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09DE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0D4641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96D99B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9E5B1E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EB47C5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2CB3F9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F365AA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0B5872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DFDDE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F232D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7AA86A1D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991232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72F81D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59B417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4CA353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B31F96" w14:textId="77777777" w:rsidR="00F232D4" w:rsidRDefault="00F232D4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F232D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Datore di lavoro:</w:t>
            </w:r>
          </w:p>
          <w:p w14:paraId="52664FA1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81DEBC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AD3219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4A12FE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6226D6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AE03BA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C2A585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1F2767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62C5F0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2A4DA0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A47232" w14:textId="77777777" w:rsidR="00E82EEE" w:rsidRDefault="00E82EEE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E82EE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Artigiani e Commercianti:</w:t>
            </w:r>
          </w:p>
          <w:p w14:paraId="0C0A8F10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123E22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AB9EFB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1B3F25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29536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70412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2F3A2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581D3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182AE8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FDB4B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E227A6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8A71D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D09CA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35BFE4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A3B3A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8BB0BE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8103E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BFCB5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64C069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0C9E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1C0A4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C751491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9A8F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E4793C3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C47B82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9AD9F0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4627795" w14:textId="77777777" w:rsidR="001F1F37" w:rsidRDefault="001F1F37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1F1F37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Lavoratori autonomi:</w:t>
            </w:r>
          </w:p>
          <w:p w14:paraId="485C6B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7A289F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84C3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7B456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24EA5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C2D0DE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5BFD4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86A9B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2F9F7F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A92B5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97C85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A084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5232A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6D8165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5CD27D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99457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C32D9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BA255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E6A6E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E3DE7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023D6A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7653E3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2A288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C32A68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5E51A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CD458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048A85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2FA9699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12A72C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5CF78B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A1B18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F39416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975E8C7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3B7270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C413BE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B9E48B" w14:textId="0E0F8A3E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2912EC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0106E35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DF2C6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C9001A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83C6B8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0B91B9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477A7B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F0EF4E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66FA96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6B5ED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E095E2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7BEBD3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5E16ED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871D198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AA2EF1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14FD0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715C65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6FC642" w14:textId="777777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2F3590E" w14:textId="403BB577" w:rsidR="002912EC" w:rsidRDefault="002912EC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2912EC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Cedolare Secca titolari di partita IVA</w:t>
            </w:r>
            <w:r w:rsid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:</w:t>
            </w:r>
          </w:p>
          <w:p w14:paraId="1366208E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02DA772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1458F0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7B8C622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BB09FE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572A3BF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7572BF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9B1BC7A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96E531B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2D0DFB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39EA95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4EF2D6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00973D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44FF177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5EF609" w14:textId="12C25548" w:rsidR="000D4E64" w:rsidRP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Artigiani e Commercianti:</w:t>
            </w:r>
          </w:p>
          <w:p w14:paraId="3B835422" w14:textId="77777777" w:rsidR="002912EC" w:rsidRDefault="002912EC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41C3930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4CE6C6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27F6E22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500DED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6D61FF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F1366F3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21BD6A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C9A7DE6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0EEB27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BB686C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DD8554E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552EB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79B9CE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E781174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828AD38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8F5DF9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DE294A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905585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A120EFF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1B3EF71" w14:textId="77777777" w:rsidR="000D4E64" w:rsidRDefault="000D4E64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9C0785" w14:textId="77777777" w:rsidR="000D4E64" w:rsidRDefault="000D4E64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Lavoratori autonomi:</w:t>
            </w:r>
          </w:p>
          <w:p w14:paraId="0CDCB3CA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F79DE9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F878EDD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71E377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5D5D8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2905D53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FB046A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53E307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0569D19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0DF7ED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9AAAA7F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659DAB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DC36B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6DD62D4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D3C78A5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BC9B3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B69A5E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42EED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DE2191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1BF659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5CF33D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0275E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D6FAC1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CFA43A2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BCC8DCE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A6A3516" w14:textId="77777777" w:rsid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A86622A" w14:textId="4070E3F6" w:rsidR="00B904D9" w:rsidRPr="00B904D9" w:rsidRDefault="00B904D9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B904D9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0CFFD42C" w14:textId="77777777" w:rsidR="00B904D9" w:rsidRDefault="00B904D9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BAAFF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0E620A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4ED0C8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569DDF1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833B7E8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D971BDC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D053E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6817685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33A5B8D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6BCCE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99538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FD80B4E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7354F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DEA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8171C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2158F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52A6E9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4135900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58DDC7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446ED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C2AFDA4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667F66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14217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69DD42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255950A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A8881A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96C9E2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86C93B3" w14:textId="77777777" w:rsidR="00F26F3D" w:rsidRDefault="00F26F3D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657B6B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F26F3D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Titolari di partita IVA:</w:t>
            </w:r>
          </w:p>
          <w:p w14:paraId="254A54D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93D6B0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69C1A1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D4D489C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3A9201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E3D9104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64ACE9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354DA66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4C92322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E4021BB" w14:textId="77777777" w:rsidR="00F26F3D" w:rsidRDefault="00F26F3D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F26F3D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Cedolare Secca titolari di partita IVA</w:t>
            </w: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:</w:t>
            </w:r>
          </w:p>
          <w:p w14:paraId="2D7EDB86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B8F4D3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F049E2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E7B47B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CF5E7AA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33E94B59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B782EB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6B9D5C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490D3B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1A99A93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5743BE8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Datori di lavoro:</w:t>
            </w:r>
          </w:p>
          <w:p w14:paraId="4547E21D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12DE64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38CD726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3A7E201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A4D1C04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16FC987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F5D38E0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9F81FAB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1AD2A35" w14:textId="77777777" w:rsidR="000A6DE0" w:rsidRDefault="000A6DE0" w:rsidP="002008D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</w:pPr>
            <w:r w:rsidRPr="000A6DE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t>Artigiani e Commercianti:</w:t>
            </w:r>
          </w:p>
          <w:p w14:paraId="7C35C426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8127060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CFD5542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2DBA684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7CB0E2F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BF7D7DB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5B98BB04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237C0116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123D83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D5787B2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16D8EB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A6288E0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4A990DAC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8468F94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77E1D64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190547E7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92C2EF7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00AF5F09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6680082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775E21EF" w14:textId="77777777" w:rsidR="00A6031B" w:rsidRDefault="00A6031B" w:rsidP="002008D4">
            <w:pPr>
              <w:jc w:val="both"/>
              <w:rPr>
                <w:rFonts w:ascii="Formata-Bold" w:hAnsi="Formata-Bold" w:cs="Formata-Bold"/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</w:p>
          <w:p w14:paraId="621D8238" w14:textId="0D96BC70" w:rsidR="00A6031B" w:rsidRPr="00A6031B" w:rsidRDefault="00A6031B" w:rsidP="002008D4">
            <w:pPr>
              <w:jc w:val="both"/>
              <w:rPr>
                <w:b/>
                <w:bCs/>
                <w:color w:val="636363" w:themeColor="background2"/>
                <w:sz w:val="32"/>
                <w:szCs w:val="32"/>
                <w:u w:val="single"/>
              </w:rPr>
            </w:pPr>
            <w:r w:rsidRPr="00A603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u w:val="single"/>
                <w:lang w:eastAsia="en-US"/>
              </w:rPr>
              <w:lastRenderedPageBreak/>
              <w:t>Lavoratori autonomi:</w:t>
            </w:r>
          </w:p>
        </w:tc>
        <w:tc>
          <w:tcPr>
            <w:tcW w:w="1645" w:type="pct"/>
            <w:shd w:val="clear" w:color="auto" w:fill="auto"/>
          </w:tcPr>
          <w:p w14:paraId="10BADDD4" w14:textId="77777777" w:rsidR="00480066" w:rsidRPr="00480066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 xml:space="preserve">imposta di bollo e-fatture </w:t>
            </w: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• Messa a disposizione nel portale</w:t>
            </w:r>
          </w:p>
          <w:p w14:paraId="6BDCBC18" w14:textId="77777777" w:rsidR="00480066" w:rsidRPr="00480066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Fatture e corrispettivi degli elenchi A e B per il pagamento dell’imposta di bollo sulle</w:t>
            </w:r>
          </w:p>
          <w:p w14:paraId="0E28D9C3" w14:textId="77777777" w:rsidR="00480066" w:rsidRPr="00480066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e-fatture emesse nel </w:t>
            </w:r>
            <w:proofErr w:type="gramStart"/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II°</w:t>
            </w:r>
            <w:proofErr w:type="gramEnd"/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trimestre 2023. L’elenco A contiene i documenti per i quali</w:t>
            </w:r>
          </w:p>
          <w:p w14:paraId="5036B6D3" w14:textId="77777777" w:rsidR="00480066" w:rsidRPr="00480066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il contribuente ha indicato la presenza dell’imposta di bollo; l’elenco B contiene i</w:t>
            </w:r>
          </w:p>
          <w:p w14:paraId="5E10A434" w14:textId="77777777" w:rsidR="00480066" w:rsidRPr="00480066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documenti che, secondo la natura dell’operazione, dovrebbero contenere l’imposta</w:t>
            </w:r>
          </w:p>
          <w:p w14:paraId="7F4D1F5F" w14:textId="77777777" w:rsidR="005F3901" w:rsidRDefault="00480066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480066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bollo ma questa non è stata inserita in sede di predisposizione e invio del documento.</w:t>
            </w:r>
          </w:p>
          <w:p w14:paraId="26E1B75E" w14:textId="77777777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termine</w:t>
            </w:r>
          </w:p>
          <w:p w14:paraId="3C4461FF" w14:textId="77777777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tramite Modello F24 telematico della </w:t>
            </w:r>
            <w:proofErr w:type="gramStart"/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di imposte risultanti dai</w:t>
            </w:r>
          </w:p>
          <w:p w14:paraId="26704D1A" w14:textId="77777777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Modelli REDDITI e IRAP 2023, che hanno versato la prima rata entro il 30 giugno.</w:t>
            </w:r>
          </w:p>
          <w:p w14:paraId="75DA6235" w14:textId="36AC95ED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Gli interessi per le rate non vanno cumulati all’imposta, ma versati a parte con 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seguenti codici tributo (per le imposte) e causali (per i contributi):</w:t>
            </w:r>
          </w:p>
          <w:p w14:paraId="55F67DF8" w14:textId="31693F05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8C2E4B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1668 – Interessi pagamento dilazionato, imposte erariali.</w:t>
            </w:r>
          </w:p>
          <w:p w14:paraId="6C4B7087" w14:textId="71E4025E" w:rsidR="008C2E4B" w:rsidRP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8C2E4B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3805 – Interessi pagamento dilazionato, tributi regionali.</w:t>
            </w:r>
          </w:p>
          <w:p w14:paraId="7C0D3BA4" w14:textId="77777777" w:rsidR="008C2E4B" w:rsidRDefault="008C2E4B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8C2E4B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8C2E4B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8C2E4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3857 – Interessi pagamento dilazionato, tributi locali.</w:t>
            </w:r>
          </w:p>
          <w:p w14:paraId="42D3EFEF" w14:textId="6C572D1F" w:rsidR="000A004E" w:rsidRPr="000A004E" w:rsidRDefault="000A004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004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tramite F24 telematico della </w:t>
            </w:r>
            <w:proofErr w:type="gramStart"/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dell’imposta sostitutiva sui canoni locativi per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 quali si è scelto di applicare la Cedolare Secca, dovuta dai titolari di partita IVA che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hanno versato la prima rata entro il 30 giugno. Si tratta della seconda rata saldo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2022 e del </w:t>
            </w: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primo acconto 2023. Gli interessi vanno versati a parte con il codice</w:t>
            </w:r>
          </w:p>
          <w:p w14:paraId="3BDA254A" w14:textId="57A877F8" w:rsidR="00F54612" w:rsidRPr="000A004E" w:rsidRDefault="000A004E" w:rsidP="000D4E64">
            <w:pPr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</w:rPr>
            </w:pPr>
            <w:r w:rsidRPr="000A004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tributo 1668 – Interessi pagamento dilazionato, imposte erariali.</w:t>
            </w:r>
          </w:p>
          <w:p w14:paraId="44555270" w14:textId="77777777" w:rsidR="00F54612" w:rsidRDefault="00971DA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</w:pPr>
            <w:r w:rsidRPr="00971DAC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IVA giugno • </w:t>
            </w:r>
            <w:r w:rsidRPr="00971DA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Liquidazione e versamento IVA di giugno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971DA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2023, senza maggiorazione, codice 6006 – sezione erario – anno 2023</w:t>
            </w:r>
            <w: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  <w:t>.</w:t>
            </w:r>
          </w:p>
          <w:p w14:paraId="63B359F0" w14:textId="77777777" w:rsidR="00625A0F" w:rsidRPr="00625A0F" w:rsidRDefault="00625A0F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625A0F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IVA annuale • </w:t>
            </w:r>
            <w:r w:rsidRPr="00625A0F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versamento 5^ di 9 rate del saldo</w:t>
            </w:r>
          </w:p>
          <w:p w14:paraId="641F0929" w14:textId="77777777" w:rsidR="00625A0F" w:rsidRDefault="00625A0F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625A0F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IVA 2022, così come risultante dalla dichiarazione annuale IVA. Per ogni mese 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625A0F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partire da marzo, il contribuente deve applicare l’interesse dello 0,33% con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625A0F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con codice tributo 1668 – sezione erario – anno di imposta 2022. L’imposta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625A0F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va versata con codice 6099 – sezione erario – anno 2022.</w:t>
            </w:r>
          </w:p>
          <w:p w14:paraId="4D2757CC" w14:textId="77777777" w:rsidR="00F232D4" w:rsidRPr="00F232D4" w:rsidRDefault="00F232D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32D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RA di giugno • </w:t>
            </w: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ritenute d’acconto operate a</w:t>
            </w:r>
          </w:p>
          <w:p w14:paraId="6063EF10" w14:textId="77777777" w:rsidR="00F232D4" w:rsidRDefault="00F232D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giugno 2023. Codice tributo 1040 – mese 06 – anno 2023 – sezione erario.</w:t>
            </w:r>
          </w:p>
          <w:p w14:paraId="746473A4" w14:textId="60DBE6A5" w:rsidR="00F232D4" w:rsidRPr="00F232D4" w:rsidRDefault="00F232D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32D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ritenute e contributi • </w:t>
            </w: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da parte del sostituto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imposta delle ritenute fiscali e contributi previdenziali trattenuti al lavoratore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dipendente, contestualmente alla quota a carico del datore di lavoro. Versamento tramite F24</w:t>
            </w:r>
          </w:p>
          <w:p w14:paraId="4CB555D6" w14:textId="77777777" w:rsidR="00F232D4" w:rsidRPr="00F232D4" w:rsidRDefault="00F232D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compilato con gli estremi del sostituto e della matricola INPS del sostituto, in relazione al</w:t>
            </w:r>
          </w:p>
          <w:p w14:paraId="7AEFF68B" w14:textId="77777777" w:rsidR="00F232D4" w:rsidRDefault="00F232D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32D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mese di giugno 2023.</w:t>
            </w:r>
          </w:p>
          <w:p w14:paraId="047FED16" w14:textId="77777777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contributi eccedenti il minimale •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</w:t>
            </w:r>
          </w:p>
          <w:p w14:paraId="3D5C5CD2" w14:textId="5D9E2C0D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della </w:t>
            </w:r>
            <w:proofErr w:type="gramStart"/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per chi ha iniziato il pagamento al 30 giugno dei contributi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 dovuti quando il reddito d’impresa supera il reddito minimale (cosiddetti contributi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a percentuale). L’importo va determinato in sede di compilazione della dichiarazione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dei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redditi, nel quadro RR. Il versamento avviene in due acconti di pari importo ed eventualmente</w:t>
            </w:r>
          </w:p>
          <w:p w14:paraId="5F482503" w14:textId="6E0C86DF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un saldo (nel caso in cui quanto versato in acconto non corrisponda al dovuto)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nell’anno successivo. Le scadenze sono le stesse previste per le imposte sui redditi. Il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 in scadenza è relativo al saldo 2022 e primo acconto 2023. Queste le causali</w:t>
            </w:r>
          </w:p>
          <w:p w14:paraId="6DC0D1B5" w14:textId="77777777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da indicare nell’F24:</w:t>
            </w:r>
          </w:p>
          <w:p w14:paraId="193A02FE" w14:textId="77777777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E82EEE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AP e CP – Pagamento contributi eccedenti il minimale di reddito (rispettivamente,</w:t>
            </w:r>
          </w:p>
          <w:p w14:paraId="61919606" w14:textId="77777777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artigiani e commercianti);</w:t>
            </w:r>
          </w:p>
          <w:p w14:paraId="29355686" w14:textId="77777777" w:rsidR="00E82EEE" w:rsidRP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E82EEE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APR e CPR – Pagamento rateale contributi eccedenti il minimale di reddito (rispettivamente,</w:t>
            </w:r>
          </w:p>
          <w:p w14:paraId="22DBCDB6" w14:textId="77777777" w:rsidR="00E82EEE" w:rsidRDefault="00E82EEE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E82EEE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artigiani e commercianti).</w:t>
            </w:r>
          </w:p>
          <w:p w14:paraId="4B34C72D" w14:textId="77777777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versamento contributi per gli iscritti alla Gestione Separata</w:t>
            </w:r>
          </w:p>
          <w:p w14:paraId="7A12765C" w14:textId="208BD430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INPS •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Termine versamento della </w:t>
            </w:r>
            <w:proofErr w:type="gramStart"/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i contribuenti che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hanno iniziato il pagamento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 30 giugno, dei contributi dovuti dai professionisti iscritti alla Gestione Separata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INPS. L’importo a saldo 2022 va determinato in sede di compilazione della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dichiarazione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dei redditi,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nel quadro RR, applicando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all’imponibile (rappresentato dal reddito di lavoro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autonomo dichiarato ai fini IRPEF) l’aliquota del 26,23%, se il professionista non ha un’altra</w:t>
            </w:r>
          </w:p>
          <w:p w14:paraId="04239DCD" w14:textId="598A169F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tutela previdenziale obbligatoria, ovvero del 24%, se il professionista è già iscritto 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una gestione previdenziale obbligatoria o è titolare di pensione. Va versato anche il primo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acconto per il 2023, da calcolare sul 40% del reddito di lavoro autonomo relativo al 2022</w:t>
            </w:r>
          </w:p>
          <w:p w14:paraId="6E56015C" w14:textId="77777777" w:rsid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 tenendo conto del massimale fissato a 105.014 euro. Queste le causali da indicare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nell’F24: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</w:p>
          <w:p w14:paraId="60F95B9B" w14:textId="7FF82951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lastRenderedPageBreak/>
              <w:t>●</w:t>
            </w:r>
            <w:r w:rsidRPr="001F1F37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P10 e P10R – Versamento (rispettivamente, non rateizzato e rateizzato) contributo</w:t>
            </w:r>
          </w:p>
          <w:p w14:paraId="593C2206" w14:textId="77777777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 dei professionisti già iscritti ad altra forma pensionistica obbligatoria o pensionati;</w:t>
            </w:r>
          </w:p>
          <w:p w14:paraId="72F21C6A" w14:textId="77777777" w:rsidR="001F1F37" w:rsidRPr="001F1F37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ZapfDingbatsITC" w:eastAsia="ZapfDingbatsITC" w:hAnsi="Formata-Bold" w:cs="ZapfDingbatsITC" w:hint="eastAsia"/>
                <w:color w:val="auto"/>
                <w:sz w:val="32"/>
                <w:szCs w:val="32"/>
                <w:lang w:eastAsia="en-US"/>
              </w:rPr>
              <w:t>●</w:t>
            </w:r>
            <w:r w:rsidRPr="001F1F37">
              <w:rPr>
                <w:rFonts w:ascii="ZapfDingbatsITC" w:eastAsia="ZapfDingbatsITC" w:hAnsi="Formata-Bold" w:cs="ZapfDingbatsITC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PXX e PXXR – Versamento (non rateizzato e rateizzato) contributo INPS dei professionisti</w:t>
            </w:r>
          </w:p>
          <w:p w14:paraId="0249C4D7" w14:textId="63112892" w:rsidR="002912EC" w:rsidRDefault="001F1F37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1F1F37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privi di altra copertura previdenziale e non pensionati.</w:t>
            </w:r>
          </w:p>
          <w:p w14:paraId="3B047F3F" w14:textId="77777777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termine</w:t>
            </w:r>
          </w:p>
          <w:p w14:paraId="3692743F" w14:textId="1CDE2B97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tramite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F24 telematico della </w:t>
            </w:r>
            <w:proofErr w:type="gramStart"/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e 2^ rata di imposte risultanti dai Modelli</w:t>
            </w:r>
          </w:p>
          <w:p w14:paraId="43830267" w14:textId="2EB0B839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REDDITI e IRAP 2023, che hanno usufruito della proroga dei versamenti dalla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data originaria del 30 giugno, senza maggiorazione. Inoltre, se </w:t>
            </w:r>
            <w:proofErr w:type="gramStart"/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non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effettuato</w:t>
            </w:r>
            <w:proofErr w:type="gramEnd"/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alla</w:t>
            </w:r>
          </w:p>
          <w:p w14:paraId="54ACDF0F" w14:textId="23AC61C4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scadenza ordinaria del 16 marzo, può essere pagato anche il saldo IVA 2022, maggiorando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l’importo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degli interessi dello 0,40% per ogni mese o frazione di mese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successivo al 16 marzo. Gli interessi per le rate vanno versati a parte con gli stessi</w:t>
            </w:r>
          </w:p>
          <w:p w14:paraId="12EE7A35" w14:textId="77777777" w:rsid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codici tributo (per le imposte) e causali (per i contributi), indicati per il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imposte in data lunedì 17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.</w:t>
            </w:r>
          </w:p>
          <w:p w14:paraId="09741251" w14:textId="0554688B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16"/>
                <w:szCs w:val="16"/>
                <w:lang w:eastAsia="en-US"/>
              </w:rPr>
              <w:t xml:space="preserve">•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termine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tramite F24 telematico della </w:t>
            </w:r>
            <w:proofErr w:type="gramStart"/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e 2^ rata dell’imposta sostitutiva sui canoni</w:t>
            </w:r>
          </w:p>
          <w:p w14:paraId="69A75A94" w14:textId="593588E9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locativi per i quali si è scelto di applicare la Cedolare Secca, dovuta dai titolari di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partita IVA che hanno usufruito della proroga dei versamenti dalla data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originaria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 30 giugno, senza maggiorazione. Si tratta del versamento del saldo 2022 e del</w:t>
            </w:r>
          </w:p>
          <w:p w14:paraId="544ACE6F" w14:textId="77777777" w:rsidR="002912EC" w:rsidRP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primo acconto 2023. Gli interessi per le rate vanno versati a parte con il codice</w:t>
            </w:r>
          </w:p>
          <w:p w14:paraId="71D40872" w14:textId="77777777" w:rsidR="002912EC" w:rsidRDefault="002912EC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2912EC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1668 – Interessi pagamento dilazionato, imposte erariali.</w:t>
            </w:r>
          </w:p>
          <w:p w14:paraId="4B50A237" w14:textId="77777777" w:rsid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537C2573" w14:textId="7A5958A1" w:rsidR="000D4E64" w:rsidRP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contributi eccedenti il minimale •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della </w:t>
            </w:r>
            <w:proofErr w:type="gramStart"/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e 2^ rata o del saldo per i contribuenti che hanno usufruito della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proroga del versamento dalla data del 30 giugno, senza maggiorazione, dei contributi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INPS dovuti quando il reddito d’impresa supera il reddito minimale (cosiddetti contributi</w:t>
            </w:r>
          </w:p>
          <w:p w14:paraId="28B3394C" w14:textId="45B509EC" w:rsidR="000D4E64" w:rsidRP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 percentuale). L’importo va determinato in sede di dichiarazione dei redditi, nel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quadro RR. Versamento in due acconti di pari importo, calcolati sul reddito d’impresa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dell’anno precedente, ed eventualmente un saldo nell’anno successivo. Le scadenze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sono le stesse delle imposte sui redditi. Il versamento in scadenza è relativo al saldo</w:t>
            </w:r>
          </w:p>
          <w:p w14:paraId="7EA9DCDE" w14:textId="77777777" w:rsidR="000D4E64" w:rsidRP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2022 e primo acconto 2023. Pagamento con F24 con le stesse causali dell’analoga voce</w:t>
            </w:r>
          </w:p>
          <w:p w14:paraId="390C829D" w14:textId="77777777" w:rsid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in scadenza lunedì 17.</w:t>
            </w:r>
          </w:p>
          <w:p w14:paraId="69DEFDE6" w14:textId="77777777" w:rsidR="000D4E64" w:rsidRP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versamento contributi per gli iscritti alla Gestione Separata</w:t>
            </w:r>
          </w:p>
          <w:p w14:paraId="13C7DF7B" w14:textId="7212765E" w:rsidR="000D4E64" w:rsidRP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INPS •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versamento 1^ e 2^ rata o saldo per i contribuenti che hanno usufruito della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proroga del versamento dalla data del 30 giugno, senza maggiorazione, dei contributi dovuti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dai professionisti iscritti alla Gestione Separata INPS. L’importo a titolo di saldo 2022 va determinato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 sede di dichiarazione dei redditi, nel quadro RR, applicando all’imponibile (ossia il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reddito di lavoro autonomo dichiarato ai fini IRPEF) l’aliquota del 26,23%, se il professionista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non ha un’altra tutela previdenziale obbligatoria, o del 24%, se il professionista è già iscritto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 una gestione previdenziale obbligatoria o è titolare di pensione. Va versato anche il primo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acconto per l’anno 2023, da calcolare sul 40% del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reddito di lavoro autonomo relativo al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2022 e tenendo conto del massimale fissato a 105.014 euro. Pagamento con F24 con le</w:t>
            </w:r>
          </w:p>
          <w:p w14:paraId="7EBC1949" w14:textId="77777777" w:rsidR="000D4E64" w:rsidRDefault="000D4E64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D4E64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stesse causali dell’analoga voce in scadenza lunedì 17.</w:t>
            </w:r>
          </w:p>
          <w:p w14:paraId="39318121" w14:textId="77777777" w:rsidR="00B904D9" w:rsidRDefault="00B904D9" w:rsidP="000D4E6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20EBB14F" w14:textId="10D90409" w:rsidR="00B904D9" w:rsidRPr="00B904D9" w:rsidRDefault="00B904D9" w:rsidP="00B904D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904D9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Modello</w:t>
            </w: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INTRASTAT</w:t>
            </w:r>
            <w:r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mensile/trimestrale • </w:t>
            </w: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 di</w:t>
            </w:r>
          </w:p>
          <w:p w14:paraId="04CC81A4" w14:textId="72E576BF" w:rsidR="00B904D9" w:rsidRPr="00B904D9" w:rsidRDefault="00B904D9" w:rsidP="00B904D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presentazione Modello INTRASTAT mensile relativo al mese precedente in relazione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alle operazioni effettuate per cessione di beni o prestazione di servizi nei</w:t>
            </w:r>
          </w:p>
          <w:p w14:paraId="3AACC375" w14:textId="77777777" w:rsidR="00B904D9" w:rsidRDefault="00B904D9" w:rsidP="00B904D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confronti dei soggetti UE. Per i titolari di partita IVA la presentazione mensile è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obbligatoria solo se è stato effettuato un ammontare di operazioni superiori a </w:t>
            </w:r>
            <w:r w:rsidRPr="00B904D9"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  <w:t>€</w:t>
            </w:r>
            <w:r>
              <w:rPr>
                <w:rFonts w:ascii="EuroSans-Regular" w:hAnsi="EuroSans-Regular" w:cs="EuroSans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50.000 nel mese precedente. Con operazioni inferiori a 50.000 euro, comunicazione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relativa al </w:t>
            </w:r>
            <w:proofErr w:type="gramStart"/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II°</w:t>
            </w:r>
            <w:proofErr w:type="gramEnd"/>
            <w:r w:rsidRPr="00B904D9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trimestre 2023.</w:t>
            </w:r>
          </w:p>
          <w:p w14:paraId="12F26F25" w14:textId="77777777" w:rsidR="00F26F3D" w:rsidRDefault="00F26F3D" w:rsidP="00B904D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51EC4614" w14:textId="77777777" w:rsidR="00F26F3D" w:rsidRDefault="00F26F3D" w:rsidP="00B904D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0DBB645F" w14:textId="290E9F2E" w:rsidR="00F26F3D" w:rsidRP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Termine versamento tramite F24 telematico della </w:t>
            </w:r>
            <w:proofErr w:type="gramStart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2^</w:t>
            </w:r>
            <w:proofErr w:type="gramEnd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imposte risultanti dai Modelli REDDITI, per chi ha versato la prima rata entro il 30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giugno; versamento 1^ rata con la maggiorazione dello 0,40% per chi ha iniziato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la rateazione al 31 luglio. Gli interessi per le rate vanno versati a parte con gli stessi</w:t>
            </w:r>
          </w:p>
          <w:p w14:paraId="674C1318" w14:textId="77777777" w:rsid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codici tributo (per le imposte) e causali (per i contributi), indicati per il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i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mposte in data lunedì 17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.</w:t>
            </w:r>
          </w:p>
          <w:p w14:paraId="46C0BE89" w14:textId="77777777" w:rsidR="00F26F3D" w:rsidRP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imposte •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termine versamento</w:t>
            </w:r>
          </w:p>
          <w:p w14:paraId="04D5ADE7" w14:textId="096E8E27" w:rsidR="00F26F3D" w:rsidRP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tramite F24 telematico della </w:t>
            </w:r>
            <w:proofErr w:type="gramStart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di imposte risultanti dai Modelli REDDITI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 IRAP 2023 con la maggiorazione del versamento dello 0,40%. Gli interessi per le rate</w:t>
            </w:r>
          </w:p>
          <w:p w14:paraId="71C376BD" w14:textId="77777777" w:rsid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vanno versati a parte con gli stessi codici tributo (per le imposte) e causali (per i contributi),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indicati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per il versamento imposte in data lunedì 17.</w:t>
            </w:r>
          </w:p>
          <w:p w14:paraId="39C2FC5A" w14:textId="6B075B4A" w:rsidR="00F26F3D" w:rsidRP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 titolari di partita IVA termine versamento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tramite F24 telematico della </w:t>
            </w:r>
            <w:proofErr w:type="gramStart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dell’imposta sostitutiva sui canoni</w:t>
            </w:r>
          </w:p>
          <w:p w14:paraId="2E0AB9E9" w14:textId="619792AB" w:rsidR="00F26F3D" w:rsidRP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locativi per i quali si è scelto di applicare la Cedolare Secca, con la maggiorazione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del versamento dello 0,40%. Si tratta del saldo 2022 e del primo acconto 2023.</w:t>
            </w:r>
          </w:p>
          <w:p w14:paraId="4E0F6B06" w14:textId="77777777" w:rsidR="00F26F3D" w:rsidRDefault="00F26F3D" w:rsidP="00F26F3D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Gli interessi vanno versati a parte con il codice tributo 1668 – Interessi pagamento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F26F3D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dilazionato, imposte erariali.</w:t>
            </w:r>
          </w:p>
          <w:p w14:paraId="59983C29" w14:textId="77777777" w:rsid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UNIEMENS •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Entro oggi i datori di lavoro devono comunicare la denuncia,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relativa al mese di maggio, delle retribuzioni e dei relativi contributi corrisposti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 ogni lavoratore dipendente o collaboratore. La mancata comunicazione determina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un reato di evasione contributiva.</w:t>
            </w:r>
          </w:p>
          <w:p w14:paraId="47A13169" w14:textId="77777777" w:rsid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0240DA46" w14:textId="77777777" w:rsid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60BFE8B6" w14:textId="77777777" w:rsidR="000A6DE0" w:rsidRP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versamento contributi eccedenti il minimale •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Termine</w:t>
            </w:r>
          </w:p>
          <w:p w14:paraId="2D30F2B3" w14:textId="7A91586D" w:rsidR="000A6DE0" w:rsidRP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versamento </w:t>
            </w:r>
            <w:proofErr w:type="gramStart"/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o saldo per chi non ha usufruito della proroga del versamento, senza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maggiorazione, dei contributi dovuti quando il reddito d’impresa supera il reddito</w:t>
            </w:r>
          </w:p>
          <w:p w14:paraId="04FFA690" w14:textId="6E2E422A" w:rsidR="000A6DE0" w:rsidRP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minimale. Gli importi vanno maggiorati dello 0,40%. L’importo va determinato in sede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dichiarazione dei redditi, nel quadro RR. Versamento in due acconti di pari importo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ed eventualmente un saldo nell’anno successivo. Le scadenze sono le stesse previste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per il pagamento delle imposte sui redditi. Il versamento in scadenza è relativo al saldo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2022 e primo acconto 2023. Pagamento con F24 con le stesse causali dell’analoga voce</w:t>
            </w:r>
          </w:p>
          <w:p w14:paraId="7463F3EA" w14:textId="77777777" w:rsidR="000A6DE0" w:rsidRDefault="000A6DE0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0A6DE0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in scadenza lunedì 17.</w:t>
            </w:r>
          </w:p>
          <w:p w14:paraId="14516B10" w14:textId="77777777" w:rsidR="00A6031B" w:rsidRDefault="00A6031B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1626F32A" w14:textId="77777777" w:rsidR="00A6031B" w:rsidRDefault="00A6031B" w:rsidP="000A6D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</w:p>
          <w:p w14:paraId="4B545FCA" w14:textId="77777777" w:rsidR="00A6031B" w:rsidRPr="00A6031B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lastRenderedPageBreak/>
              <w:t>versamento contributi per gli iscritti alla Gestione Separata</w:t>
            </w:r>
          </w:p>
          <w:p w14:paraId="67A3E978" w14:textId="1D1975AD" w:rsidR="00A6031B" w:rsidRPr="00A6031B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 xml:space="preserve">INPS •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Termine versamento della </w:t>
            </w:r>
            <w:proofErr w:type="gramStart"/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1^</w:t>
            </w:r>
            <w:proofErr w:type="gramEnd"/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rata o del saldo per i contribuenti che non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hanno usufruito della proroga del versamento senza maggiorazione, dei contributi dovuti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dai professionisti iscritti alla Gestione Separata INPS.</w:t>
            </w:r>
          </w:p>
          <w:p w14:paraId="16408AD8" w14:textId="77777777" w:rsidR="00A6031B" w:rsidRPr="00A6031B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Gli importi vanno versati considerando la maggiorazione dello 0,40%. L’importo a titolo di</w:t>
            </w:r>
          </w:p>
          <w:p w14:paraId="26E40E47" w14:textId="1D6A3396" w:rsidR="00A6031B" w:rsidRPr="00A6031B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saldo 2022 va determinato in sede di dichiarazione dei redditi, nel quadro RR, applicando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all’imponibile (cioè il reddito di lavoro autonomo dichiarato ai fini IRPEF) l’aliquota del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26,23%, se il professionista non ha un’altra tutela previdenziale obbligatoria, o del 24%,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se il professionista è già iscritto a una gestione previdenziale obbligatoria o è titolare di</w:t>
            </w:r>
            <w:r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 xml:space="preserve">pensione. Va versato </w:t>
            </w: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lastRenderedPageBreak/>
              <w:t>anche il primo acconto per il 2023, da calcolare sul 40% del reddito</w:t>
            </w:r>
          </w:p>
          <w:p w14:paraId="16048EEA" w14:textId="77777777" w:rsidR="00A6031B" w:rsidRPr="00A6031B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di lavoro autonomo relativo al 2022 e tenendo conto del massimale fissato a 105.014</w:t>
            </w:r>
          </w:p>
          <w:p w14:paraId="69FEEAEA" w14:textId="47EB67AC" w:rsidR="00A6031B" w:rsidRPr="000D4E64" w:rsidRDefault="00A6031B" w:rsidP="00A6031B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</w:pPr>
            <w:r w:rsidRPr="00A6031B">
              <w:rPr>
                <w:rFonts w:ascii="Formata-Regular" w:hAnsi="Formata-Regular" w:cs="Formata-Regular"/>
                <w:color w:val="auto"/>
                <w:sz w:val="32"/>
                <w:szCs w:val="32"/>
                <w:lang w:eastAsia="en-US"/>
              </w:rPr>
              <w:t>euro. Pagamento con F24 con le stesse causali dell’analoga voce in scadenza lunedì 17.</w:t>
            </w:r>
          </w:p>
        </w:tc>
      </w:tr>
    </w:tbl>
    <w:p w14:paraId="65B0E9F2" w14:textId="77777777" w:rsidR="00E85B23" w:rsidRDefault="00E85B23" w:rsidP="00E85B23">
      <w:pPr>
        <w:pStyle w:val="Spaziotabelle"/>
      </w:pPr>
    </w:p>
    <w:p w14:paraId="4F0BCC58" w14:textId="77777777" w:rsidR="00E85B23" w:rsidRDefault="00E85B23" w:rsidP="00E85B23">
      <w:pPr>
        <w:pStyle w:val="Spaziotabelle"/>
      </w:pPr>
    </w:p>
    <w:p w14:paraId="12AB273C" w14:textId="77777777" w:rsidR="00E85B23" w:rsidRDefault="00E85B23" w:rsidP="00E85B23">
      <w:pPr>
        <w:pStyle w:val="Spaziotabelle"/>
      </w:pPr>
    </w:p>
    <w:p w14:paraId="5E9819F0" w14:textId="77777777" w:rsidR="00E85B23" w:rsidRDefault="00E85B23" w:rsidP="00E85B23"/>
    <w:p w14:paraId="0C27E9C7" w14:textId="77777777" w:rsidR="00E85B23" w:rsidRDefault="00E85B23" w:rsidP="00E85B23"/>
    <w:p w14:paraId="724025BF" w14:textId="77777777" w:rsidR="00E85B23" w:rsidRDefault="00E85B23" w:rsidP="00E85B23"/>
    <w:p w14:paraId="21F501E8" w14:textId="77777777" w:rsidR="00E85B23" w:rsidRDefault="00E85B23" w:rsidP="00E85B23"/>
    <w:p w14:paraId="4F56DBF3" w14:textId="77777777" w:rsidR="00E85B23" w:rsidRDefault="00E85B23" w:rsidP="00E85B23"/>
    <w:p w14:paraId="1D3A88B3" w14:textId="77777777" w:rsidR="00423429" w:rsidRDefault="00423429"/>
    <w:sectPr w:rsidR="00423429" w:rsidSect="00CC22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009" w:right="1009" w:bottom="1009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7C65" w14:textId="77777777" w:rsidR="006E2A67" w:rsidRDefault="006E2A67">
      <w:pPr>
        <w:spacing w:before="0" w:after="0"/>
      </w:pPr>
      <w:r>
        <w:separator/>
      </w:r>
    </w:p>
  </w:endnote>
  <w:endnote w:type="continuationSeparator" w:id="0">
    <w:p w14:paraId="5293023F" w14:textId="77777777" w:rsidR="006E2A67" w:rsidRDefault="006E2A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r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5473" w14:textId="77777777" w:rsidR="00CC22A5" w:rsidRDefault="00CC22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A12FF4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323A6" w14:textId="77777777" w:rsidR="00CC22A5" w:rsidRDefault="00CC22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025A" w14:textId="77777777" w:rsidR="006E2A67" w:rsidRDefault="006E2A67">
      <w:pPr>
        <w:spacing w:before="0" w:after="0"/>
      </w:pPr>
      <w:r>
        <w:separator/>
      </w:r>
    </w:p>
  </w:footnote>
  <w:footnote w:type="continuationSeparator" w:id="0">
    <w:p w14:paraId="59AF9120" w14:textId="77777777" w:rsidR="006E2A67" w:rsidRDefault="006E2A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028A" w14:textId="77777777" w:rsidR="00CC22A5" w:rsidRDefault="00CC22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4AD9F838" w:rsidR="00D64FDC" w:rsidRDefault="00CC22A5">
    <w:pPr>
      <w:pStyle w:val="Intestazione"/>
    </w:pPr>
    <w:proofErr w:type="spellStart"/>
    <w:r>
      <w:t>ds</w:t>
    </w:r>
    <w:proofErr w:type="spellEnd"/>
  </w:p>
  <w:p w14:paraId="3253D0EE" w14:textId="77777777" w:rsidR="00D64FDC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7060" w14:textId="77777777" w:rsidR="00CC22A5" w:rsidRDefault="00CC2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0D0"/>
    <w:multiLevelType w:val="multilevel"/>
    <w:tmpl w:val="A988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C6C4E"/>
    <w:multiLevelType w:val="multilevel"/>
    <w:tmpl w:val="799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97CE1"/>
    <w:multiLevelType w:val="multilevel"/>
    <w:tmpl w:val="395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4DB7"/>
    <w:multiLevelType w:val="multilevel"/>
    <w:tmpl w:val="76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F261CD"/>
    <w:multiLevelType w:val="multilevel"/>
    <w:tmpl w:val="9EB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295B"/>
    <w:multiLevelType w:val="multilevel"/>
    <w:tmpl w:val="8EA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2063D"/>
    <w:multiLevelType w:val="multilevel"/>
    <w:tmpl w:val="0774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F11D7"/>
    <w:multiLevelType w:val="multilevel"/>
    <w:tmpl w:val="24FE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756BC"/>
    <w:multiLevelType w:val="multilevel"/>
    <w:tmpl w:val="4A20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669FB"/>
    <w:multiLevelType w:val="multilevel"/>
    <w:tmpl w:val="194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16A4A"/>
    <w:multiLevelType w:val="multilevel"/>
    <w:tmpl w:val="CFD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A49A1"/>
    <w:multiLevelType w:val="multilevel"/>
    <w:tmpl w:val="ECF4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63D42"/>
    <w:multiLevelType w:val="multilevel"/>
    <w:tmpl w:val="BA3E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C1670"/>
    <w:multiLevelType w:val="multilevel"/>
    <w:tmpl w:val="0B58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F65E2"/>
    <w:multiLevelType w:val="multilevel"/>
    <w:tmpl w:val="A6FE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E6F54"/>
    <w:multiLevelType w:val="multilevel"/>
    <w:tmpl w:val="677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075619">
    <w:abstractNumId w:val="8"/>
  </w:num>
  <w:num w:numId="2" w16cid:durableId="574239443">
    <w:abstractNumId w:val="12"/>
  </w:num>
  <w:num w:numId="3" w16cid:durableId="2142184549">
    <w:abstractNumId w:val="1"/>
  </w:num>
  <w:num w:numId="4" w16cid:durableId="1801994931">
    <w:abstractNumId w:val="13"/>
  </w:num>
  <w:num w:numId="5" w16cid:durableId="2090420862">
    <w:abstractNumId w:val="5"/>
  </w:num>
  <w:num w:numId="6" w16cid:durableId="110251427">
    <w:abstractNumId w:val="2"/>
  </w:num>
  <w:num w:numId="7" w16cid:durableId="671955367">
    <w:abstractNumId w:val="0"/>
  </w:num>
  <w:num w:numId="8" w16cid:durableId="170488200">
    <w:abstractNumId w:val="14"/>
  </w:num>
  <w:num w:numId="9" w16cid:durableId="1303654842">
    <w:abstractNumId w:val="3"/>
  </w:num>
  <w:num w:numId="10" w16cid:durableId="2080901454">
    <w:abstractNumId w:val="15"/>
  </w:num>
  <w:num w:numId="11" w16cid:durableId="389772404">
    <w:abstractNumId w:val="6"/>
  </w:num>
  <w:num w:numId="12" w16cid:durableId="1146166721">
    <w:abstractNumId w:val="7"/>
  </w:num>
  <w:num w:numId="13" w16cid:durableId="858659345">
    <w:abstractNumId w:val="10"/>
  </w:num>
  <w:num w:numId="14" w16cid:durableId="1075670248">
    <w:abstractNumId w:val="4"/>
  </w:num>
  <w:num w:numId="15" w16cid:durableId="2058429745">
    <w:abstractNumId w:val="9"/>
  </w:num>
  <w:num w:numId="16" w16cid:durableId="21423377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50E2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29A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04E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DE0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4E64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52AA"/>
    <w:rsid w:val="000F60FA"/>
    <w:rsid w:val="000F65C2"/>
    <w:rsid w:val="000F6769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7B7"/>
    <w:rsid w:val="001739CD"/>
    <w:rsid w:val="00173B86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5ED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1F37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8D4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2EC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397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4E3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2FDD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066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41B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16D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C1C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24B6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4A5F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0410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901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26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5A0F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11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A67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6E5C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5AE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28F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2E4B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6931"/>
    <w:rsid w:val="008C7720"/>
    <w:rsid w:val="008C7A24"/>
    <w:rsid w:val="008C7FDB"/>
    <w:rsid w:val="008D052E"/>
    <w:rsid w:val="008D0A3C"/>
    <w:rsid w:val="008D0B56"/>
    <w:rsid w:val="008D0EA5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712E"/>
    <w:rsid w:val="008F7325"/>
    <w:rsid w:val="0090001F"/>
    <w:rsid w:val="0090047D"/>
    <w:rsid w:val="00900723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67DA5"/>
    <w:rsid w:val="0097066C"/>
    <w:rsid w:val="00970B70"/>
    <w:rsid w:val="009716C5"/>
    <w:rsid w:val="009718D4"/>
    <w:rsid w:val="00971DAC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37A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3ECA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31B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77F3E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87585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6DD8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4D9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3BE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3F28"/>
    <w:rsid w:val="00C8476C"/>
    <w:rsid w:val="00C85577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2A5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673C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11E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66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0ED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1B70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1876"/>
    <w:rsid w:val="00E72E3D"/>
    <w:rsid w:val="00E730A8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2EEE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6C0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8F4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D4"/>
    <w:rsid w:val="00F232E6"/>
    <w:rsid w:val="00F23B54"/>
    <w:rsid w:val="00F23C54"/>
    <w:rsid w:val="00F24320"/>
    <w:rsid w:val="00F247ED"/>
    <w:rsid w:val="00F24C2A"/>
    <w:rsid w:val="00F24F9E"/>
    <w:rsid w:val="00F26F3D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4612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  <w:style w:type="paragraph" w:styleId="NormaleWeb">
    <w:name w:val="Normal (Web)"/>
    <w:basedOn w:val="Normale"/>
    <w:uiPriority w:val="99"/>
    <w:unhideWhenUsed/>
    <w:rsid w:val="008D0EA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62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3790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5410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21435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22</cp:revision>
  <cp:lastPrinted>2023-06-07T10:10:00Z</cp:lastPrinted>
  <dcterms:created xsi:type="dcterms:W3CDTF">2023-06-26T09:26:00Z</dcterms:created>
  <dcterms:modified xsi:type="dcterms:W3CDTF">2023-07-14T07:51:00Z</dcterms:modified>
</cp:coreProperties>
</file>